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vertAlign w:val="baseline"/>
          <w:lang w:val="en-US" w:eastAsia="zh-CN"/>
        </w:rPr>
        <w:t>Table S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  <w:vertAlign w:val="baseline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vertAlign w:val="baseline"/>
          <w:lang w:val="en-US" w:eastAsia="zh-CN"/>
        </w:rPr>
        <w:t xml:space="preserve"> The clinical characteristics of HCC patients in </w:t>
      </w:r>
      <w:r>
        <w:rPr>
          <w:rFonts w:hint="eastAsia" w:ascii="Times New Roman" w:hAnsi="Times New Roman" w:cs="Times New Roman"/>
          <w:b/>
          <w:bCs/>
          <w:sz w:val="24"/>
          <w:szCs w:val="24"/>
          <w:vertAlign w:val="baseline"/>
          <w:lang w:val="en-US" w:eastAsia="zh-CN"/>
        </w:rPr>
        <w:t>each dataset</w:t>
      </w:r>
      <w:bookmarkStart w:id="6" w:name="_GoBack"/>
      <w:bookmarkEnd w:id="6"/>
    </w:p>
    <w:p>
      <w:pPr>
        <w:rPr>
          <w:rFonts w:hint="default" w:ascii="Times New Roman" w:hAnsi="Times New Roman" w:cs="Times New Roman"/>
          <w:b/>
          <w:bCs/>
          <w:sz w:val="24"/>
          <w:szCs w:val="24"/>
          <w:vertAlign w:val="baseline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2"/>
        <w:gridCol w:w="1230"/>
        <w:gridCol w:w="1330"/>
        <w:gridCol w:w="1250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single" w:color="auto" w:sz="4" w:space="0"/>
            </w:tcBorders>
            <w:vAlign w:val="top"/>
          </w:tcPr>
          <w:p>
            <w:pPr>
              <w:ind w:firstLine="2400" w:firstLineChars="100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Dataset</w:t>
            </w:r>
          </w:p>
          <w:p>
            <w:pPr>
              <w:ind w:firstLine="2400" w:firstLineChars="100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0" w:firstLineChars="1000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Characteristic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TCGA</w:t>
            </w:r>
            <w:r>
              <w:rPr>
                <w:rFonts w:hint="eastAsia" w:ascii="宋体" w:hAnsi="宋体"/>
                <w:color w:val="080000"/>
                <w:sz w:val="21"/>
                <w:szCs w:val="24"/>
              </w:rPr>
              <w:t>[1,2]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MSK, Clin Cancer Res 2018</w:t>
            </w:r>
            <w:r>
              <w:rPr>
                <w:rFonts w:hint="eastAsia" w:ascii="宋体" w:hAnsi="宋体"/>
                <w:color w:val="080000"/>
                <w:sz w:val="21"/>
                <w:szCs w:val="24"/>
              </w:rPr>
              <w:t>[3]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INSERM, Nat Genet 2015</w:t>
            </w:r>
            <w:r>
              <w:rPr>
                <w:rFonts w:hint="eastAsia" w:ascii="宋体" w:hAnsi="宋体"/>
                <w:color w:val="080000"/>
                <w:sz w:val="21"/>
                <w:szCs w:val="24"/>
              </w:rPr>
              <w:t>[4]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AMC, Hepatology 2014</w:t>
            </w:r>
            <w:r>
              <w:rPr>
                <w:rFonts w:hint="eastAsia" w:ascii="宋体" w:hAnsi="宋体"/>
                <w:color w:val="080000"/>
                <w:sz w:val="21"/>
                <w:szCs w:val="24"/>
              </w:rPr>
              <w:t>[</w:t>
            </w:r>
            <w:r>
              <w:rPr>
                <w:rFonts w:hint="eastAsia" w:ascii="宋体" w:hAnsi="宋体"/>
                <w:color w:val="080000"/>
                <w:sz w:val="21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80000"/>
                <w:sz w:val="21"/>
                <w:szCs w:val="24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TIMER2.0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UALCAN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cBioPortal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Kaplan-Meier plotter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GEPIA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√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samples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n=37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Sex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n=251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n=121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S</w:t>
            </w: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ample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T</w:t>
            </w: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ypes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Primary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Metastasis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Local Recurrence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Tumor Type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Hepatocellular Carcinoma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n=362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left="479" w:leftChars="228" w:firstLine="0" w:firstLineChars="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Hepatocholangiocarcinoma (Mixed)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Fibrolamellar Carcinoma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Vascular invasion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one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n=205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icro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M</w:t>
            </w: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acro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n=16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bookmarkStart w:id="0" w:name="OLE_LINK1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BCLC stage</w:t>
            </w:r>
            <w:bookmarkEnd w:id="0"/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0_A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B_C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NA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AJCC_T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n=181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n=94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n=80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n=13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Stage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Grade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242021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Etiology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Al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HCV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W/O Etiology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METAB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Al. METAB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Al. HCV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HM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OTHER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Al. HBV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Al. HBV HCV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Al. HM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HCV METAB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HM METAB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Al. HBV METAB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Cirrhosis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Neoplasm Histologic Grade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III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IV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n=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NewRomanPSMT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IIII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n=18</w:t>
            </w:r>
          </w:p>
        </w:tc>
      </w:tr>
    </w:tbl>
    <w:p>
      <w:pPr>
        <w:spacing w:beforeLines="0" w:afterLines="0" w:line="360" w:lineRule="auto"/>
        <w:jc w:val="left"/>
        <w:rPr>
          <w:rFonts w:hint="eastAsia" w:ascii="Times New Roman" w:hAnsi="Times New Roman" w:eastAsia="宋体"/>
          <w:i w:val="0"/>
          <w:iCs w:val="0"/>
          <w:color w:val="000000"/>
          <w:sz w:val="20"/>
          <w:szCs w:val="24"/>
          <w:lang w:val="en-US" w:eastAsia="zh-CN"/>
        </w:rPr>
      </w:pPr>
      <w:r>
        <w:rPr>
          <w:rFonts w:hint="default" w:ascii="Times New Roman" w:hAnsi="Times New Roman" w:eastAsia="Times New Roman"/>
          <w:i w:val="0"/>
          <w:iCs w:val="0"/>
          <w:color w:val="000000"/>
          <w:sz w:val="20"/>
          <w:szCs w:val="24"/>
        </w:rPr>
        <w:t>TCGA</w:t>
      </w:r>
      <w:r>
        <w:rPr>
          <w:rFonts w:hint="eastAsia" w:ascii="Times New Roman" w:hAnsi="Times New Roman" w:eastAsia="宋体"/>
          <w:i w:val="0"/>
          <w:iCs w:val="0"/>
          <w:color w:val="000000"/>
          <w:sz w:val="20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Times New Roman"/>
          <w:i w:val="0"/>
          <w:iCs w:val="0"/>
          <w:color w:val="000000"/>
          <w:sz w:val="20"/>
          <w:szCs w:val="24"/>
        </w:rPr>
        <w:t>The Cancer Genome Atlas</w:t>
      </w:r>
      <w:r>
        <w:rPr>
          <w:rFonts w:hint="eastAsia" w:ascii="Times New Roman" w:hAnsi="Times New Roman" w:eastAsia="宋体"/>
          <w:i w:val="0"/>
          <w:iCs w:val="0"/>
          <w:color w:val="000000"/>
          <w:sz w:val="20"/>
          <w:szCs w:val="24"/>
          <w:lang w:val="en-US" w:eastAsia="zh-CN"/>
        </w:rPr>
        <w:t>.</w:t>
      </w:r>
    </w:p>
    <w:p>
      <w:pPr>
        <w:spacing w:beforeLines="0" w:afterLines="0"/>
        <w:jc w:val="left"/>
        <w:rPr>
          <w:rFonts w:hint="eastAsia" w:ascii="Times New Roman" w:hAnsi="Times New Roman" w:eastAsia="宋体"/>
          <w:i/>
          <w:iCs/>
          <w:color w:val="000000"/>
          <w:sz w:val="20"/>
          <w:szCs w:val="24"/>
          <w:lang w:val="en-US" w:eastAsia="zh-CN"/>
        </w:rPr>
      </w:pPr>
    </w:p>
    <w:p>
      <w:pPr>
        <w:spacing w:beforeLines="0" w:afterLines="0"/>
        <w:jc w:val="left"/>
        <w:rPr>
          <w:rFonts w:hint="default"/>
          <w:sz w:val="22"/>
          <w:szCs w:val="22"/>
        </w:rPr>
      </w:pPr>
      <w:r>
        <w:rPr>
          <w:rFonts w:hint="default" w:ascii="Times New Roman" w:hAnsi="Times New Roman" w:eastAsia="Times New Roman"/>
          <w:b/>
          <w:color w:val="000000"/>
          <w:sz w:val="24"/>
          <w:szCs w:val="22"/>
        </w:rPr>
        <w:t>References</w:t>
      </w:r>
    </w:p>
    <w:p>
      <w:pPr>
        <w:spacing w:beforeLines="0" w:afterLines="0"/>
        <w:ind w:left="480" w:hanging="320"/>
        <w:jc w:val="left"/>
        <w:rPr>
          <w:rFonts w:hint="default"/>
          <w:sz w:val="24"/>
          <w:szCs w:val="24"/>
        </w:rPr>
      </w:pP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[1] </w:t>
      </w:r>
      <w:bookmarkStart w:id="1" w:name="_nebDBF8660A_2BBF_4C6C_BFF3_691C4C574365"/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begin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instrText xml:space="preserve"> HYPERLINK "https://pubmed.ncbi.nlm.nih.gov/?term=Ally+A" </w:instrTex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separate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Ally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end"/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 A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, 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begin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instrText xml:space="preserve"> HYPERLINK "https://pubmed.ncbi.nlm.nih.gov/?term=Balasundaram+M" </w:instrTex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separate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Balasundaram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end"/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 M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, 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begin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instrText xml:space="preserve"> HYPERLINK "https://pubmed.ncbi.nlm.nih.gov/?term=Carlsen+R" </w:instrTex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separate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Carlsen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end"/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 R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, 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begin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instrText xml:space="preserve"> HYPERLINK "https://pubmed.ncbi.nlm.nih.gov/?term=Chuah+E" </w:instrTex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separate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Chuah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end"/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 E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, 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begin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instrText xml:space="preserve"> HYPERLINK "https://pubmed.ncbi.nlm.nih.gov/?term=Clarke+A" </w:instrTex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separate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Clarke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end"/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 A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, 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begin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instrText xml:space="preserve"> HYPERLINK "https://pubmed.ncbi.nlm.nih.gov/?term=Dhalla+N" </w:instrTex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separate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Dhalla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end"/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 N, </w:t>
      </w:r>
      <w:r>
        <w:rPr>
          <w:rFonts w:hint="default" w:ascii="Times New Roman" w:hAnsi="Times New Roman" w:eastAsia="Times New Roman"/>
          <w:i/>
          <w:iCs/>
          <w:color w:val="000000"/>
          <w:sz w:val="20"/>
          <w:szCs w:val="24"/>
        </w:rPr>
        <w:t>et al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.</w:t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Comprehensive and integrative genomic characterization of hepatocellular carcinoma. Cell</w:t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>.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 2017;169(7):1327-41.</w:t>
      </w:r>
      <w:bookmarkEnd w:id="1"/>
    </w:p>
    <w:p>
      <w:pPr>
        <w:spacing w:beforeLines="0" w:afterLines="0"/>
        <w:ind w:left="480" w:hanging="320"/>
        <w:jc w:val="left"/>
        <w:rPr>
          <w:rFonts w:hint="default"/>
          <w:sz w:val="24"/>
          <w:szCs w:val="24"/>
        </w:rPr>
      </w:pP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[2] </w:t>
      </w:r>
      <w:bookmarkStart w:id="2" w:name="_nebCB34F45D_A1EC_48C7_B9DF_A9298103B3A8"/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Menyhárt O, Nagy Á, Győrffy B. Determining consistent prognostic biomarkers of overall survival and vascular invasion in hepatocellular carcinoma. 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begin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instrText xml:space="preserve"> HYPERLINK "https://sci.justscience.cn/details.html?sci=1&amp;id=12204" </w:instrTex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separate"/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Royal Society Open Science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fldChar w:fldCharType="end"/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2018;5(12):181006. </w:t>
      </w:r>
      <w:bookmarkEnd w:id="2"/>
    </w:p>
    <w:p>
      <w:pPr>
        <w:spacing w:beforeLines="0" w:afterLines="0"/>
        <w:ind w:left="480" w:hanging="320"/>
        <w:jc w:val="left"/>
        <w:rPr>
          <w:rFonts w:hint="default"/>
          <w:sz w:val="24"/>
          <w:szCs w:val="24"/>
        </w:rPr>
      </w:pP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[3] </w:t>
      </w:r>
      <w:bookmarkStart w:id="3" w:name="_neb6597128E_9D3D_4731_91C1_79B3E2FE4AAB"/>
      <w:r>
        <w:rPr>
          <w:rFonts w:hint="default" w:ascii="Times New Roman" w:hAnsi="Times New Roman" w:eastAsia="Times New Roman"/>
          <w:color w:val="000000"/>
          <w:sz w:val="20"/>
          <w:szCs w:val="24"/>
        </w:rPr>
        <w:t>Harding JJ, Nandakumar S, Armenia J, Khalil DN, Albano M, Ly M,</w:t>
      </w:r>
      <w:r>
        <w:rPr>
          <w:rFonts w:hint="default" w:ascii="Times New Roman" w:hAnsi="Times New Roman" w:eastAsia="Times New Roman"/>
          <w:i/>
          <w:iCs/>
          <w:color w:val="000000"/>
          <w:sz w:val="20"/>
          <w:szCs w:val="24"/>
        </w:rPr>
        <w:t xml:space="preserve"> et al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. Prospective</w:t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genotyping of hepatocellular carcinoma: Clinical implications of Next-Generation sequencing for matching patients to targeted and immune therapies. </w:t>
      </w:r>
      <w:r>
        <w:rPr>
          <w:rFonts w:hint="default" w:ascii="Times New Roman" w:hAnsi="Times New Roman" w:eastAsia="Times New Roman"/>
          <w:color w:val="000000"/>
          <w:sz w:val="20"/>
          <w:szCs w:val="24"/>
          <w:lang w:val="en-US" w:eastAsia="zh-CN"/>
        </w:rPr>
        <w:t>Clinical Cancer Research</w:t>
      </w:r>
      <w:r>
        <w:rPr>
          <w:rFonts w:hint="eastAsia" w:ascii="Times New Roman" w:hAnsi="Times New Roman" w:eastAsia="Times New Roman"/>
          <w:color w:val="000000"/>
          <w:sz w:val="20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2019;25(7):2116-26.</w:t>
      </w:r>
      <w:bookmarkEnd w:id="3"/>
    </w:p>
    <w:p>
      <w:pPr>
        <w:spacing w:beforeLines="0" w:afterLines="0"/>
        <w:ind w:left="480" w:hanging="320"/>
        <w:jc w:val="left"/>
        <w:rPr>
          <w:rFonts w:hint="default"/>
          <w:sz w:val="24"/>
          <w:szCs w:val="24"/>
        </w:rPr>
      </w:pP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[4] </w:t>
      </w:r>
      <w:bookmarkStart w:id="4" w:name="_nebDC5A0575_A30A_4907_B346_2212AEDF533F"/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Schulze K, Imbeaud S, Letouzé E, Alexandrov LB, Calderaro J, Rebouissou S, </w:t>
      </w:r>
      <w:r>
        <w:rPr>
          <w:rFonts w:hint="default" w:ascii="Times New Roman" w:hAnsi="Times New Roman" w:eastAsia="Times New Roman"/>
          <w:i/>
          <w:iCs/>
          <w:color w:val="000000"/>
          <w:sz w:val="20"/>
          <w:szCs w:val="24"/>
        </w:rPr>
        <w:t>et al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. Exome sequencing of hepatocellular carcinomas identifies new mutational signatures and potential therapeutic targets.</w:t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Nature Genetics</w:t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>.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 2015;47(5):505-11.</w:t>
      </w:r>
      <w:bookmarkEnd w:id="4"/>
    </w:p>
    <w:p>
      <w:pPr>
        <w:spacing w:beforeLines="0" w:afterLines="0"/>
        <w:ind w:left="480" w:hanging="320"/>
        <w:jc w:val="left"/>
        <w:rPr>
          <w:rFonts w:hint="default"/>
          <w:sz w:val="24"/>
          <w:szCs w:val="24"/>
        </w:rPr>
      </w:pPr>
      <w:r>
        <w:rPr>
          <w:rFonts w:hint="default" w:ascii="Times New Roman" w:hAnsi="Times New Roman" w:eastAsia="Times New Roman"/>
          <w:color w:val="000000"/>
          <w:sz w:val="20"/>
          <w:szCs w:val="24"/>
        </w:rPr>
        <w:t>[</w:t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>5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] </w:t>
      </w:r>
      <w:bookmarkStart w:id="5" w:name="_nebFFD66604_F4C7_4E9D_B077_D52C360ED6ED"/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Ahn SM, Jang SJ, Shim JH, Kim D, Hong SM, Sung CO, </w:t>
      </w:r>
      <w:r>
        <w:rPr>
          <w:rFonts w:hint="default" w:ascii="Times New Roman" w:hAnsi="Times New Roman" w:eastAsia="Times New Roman"/>
          <w:i/>
          <w:iCs/>
          <w:color w:val="000000"/>
          <w:sz w:val="20"/>
          <w:szCs w:val="24"/>
        </w:rPr>
        <w:t>et al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>. Genomic portrait of resectable hepatocellular carcinomas: Implications of RB1 and FGF19 aberrations for patient stratification. Hepatology</w:t>
      </w:r>
      <w:r>
        <w:rPr>
          <w:rFonts w:hint="eastAsia" w:ascii="Times New Roman" w:hAnsi="Times New Roman" w:eastAsia="宋体"/>
          <w:color w:val="000000"/>
          <w:sz w:val="20"/>
          <w:szCs w:val="24"/>
          <w:lang w:val="en-US" w:eastAsia="zh-CN"/>
        </w:rPr>
        <w:t>.</w:t>
      </w:r>
      <w:r>
        <w:rPr>
          <w:rFonts w:hint="default" w:ascii="Times New Roman" w:hAnsi="Times New Roman" w:eastAsia="Times New Roman"/>
          <w:color w:val="000000"/>
          <w:sz w:val="20"/>
          <w:szCs w:val="24"/>
        </w:rPr>
        <w:t xml:space="preserve"> 2014;60(6):1972-82.</w:t>
      </w:r>
      <w:bookmarkEnd w:id="5"/>
    </w:p>
    <w:p>
      <w:pPr>
        <w:spacing w:beforeLines="0" w:afterLines="0"/>
        <w:ind w:left="480" w:hanging="320"/>
        <w:jc w:val="left"/>
        <w:rPr>
          <w:rFonts w:hint="eastAsia" w:eastAsiaTheme="minorEastAsia"/>
          <w:sz w:val="24"/>
          <w:szCs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zBlYmRiNTBiZWU2MzFiMjNlY2JkNTNiYWUxMzIifQ=="/>
    <w:docVar w:name="NE.Ref{31704E6E-0A73-4D42-8F9A-C78D4756C667}" w:val=" ADDIN NE.Ref.{31704E6E-0A73-4D42-8F9A-C78D4756C667}&lt;Citation&gt;&lt;Group&gt;&lt;References&gt;&lt;Item&gt;&lt;ID&gt;1567&lt;/ID&gt;&lt;UID&gt;{DBF8660A-2BBF-4C6C-BFF3-691C4C574365}&lt;/UID&gt;&lt;Title&gt;Comprehensive and Integrative Genomic Characterization of Hepatocellular  Carcinoma&lt;/Title&gt;&lt;Template&gt;Journal Article&lt;/Template&gt;&lt;Star&gt;0&lt;/Star&gt;&lt;Tag&gt;0&lt;/Tag&gt;&lt;Author/&gt;&lt;Year&gt;2017&lt;/Year&gt;&lt;Details&gt;&lt;_accession_num&gt;28622513&lt;/_accession_num&gt;&lt;_date_display&gt;2017 Jun 15&lt;/_date_display&gt;&lt;_date&gt;2017-06-15&lt;/_date&gt;&lt;_doi&gt;10.1016/j.cell.2017.05.046&lt;/_doi&gt;&lt;_isbn&gt;1097-4172 (Electronic); 0092-8674 (Print); 0092-8674 (Linking)&lt;/_isbn&gt;&lt;_issue&gt;7&lt;/_issue&gt;&lt;_journal&gt;Cell&lt;/_journal&gt;&lt;_keywords&gt;IDH1/2; TP53; cancer subtyping; expression profile; hepatocellular carcinoma; metabolic reprogramming; promoter hypermethylation; significantly mutated genes; sonic hedgehog signaling; stem cell phenotype&lt;/_keywords&gt;&lt;_language&gt;eng&lt;/_language&gt;&lt;_ori_publication&gt;Copyright © 2017 Elsevier Inc. All rights reserved.&lt;/_ori_publication&gt;&lt;_pages&gt;1327-1341.e23&lt;/_pages&gt;&lt;_subject_headings&gt;Carcinoma, Hepatocellular/*genetics/virology; DNA Methylation; *Genomics; Humans; Isocitrate Dehydrogenase/genetics; Liver Neoplasms/*genetics/virology; MicroRNAs/genetics; Mutation&lt;/_subject_headings&gt;&lt;_tertiary_title&gt;Cell&lt;/_tertiary_title&gt;&lt;_type_work&gt;Journal Article&lt;/_type_work&gt;&lt;_url&gt;http://www.ncbi.nlm.nih.gov/entrez/query.fcgi?cmd=Retrieve&amp;amp;db=pubmed&amp;amp;dopt=Abstract&amp;amp;list_uids=28622513&amp;amp;query_hl=1&lt;/_url&gt;&lt;_volume&gt;169&lt;/_volume&gt;&lt;_created&gt;64712164&lt;/_created&gt;&lt;_modified&gt;64712164&lt;/_modified&gt;&lt;_impact_factor&gt;  41.584&lt;/_impact_factor&gt;&lt;_collection_scope&gt;SCI;SCIE&lt;/_collection_scope&gt;&lt;/Details&gt;&lt;Extra&gt;&lt;DBUID&gt;{AEE956F6-2975-44FB-BB03-F689351D8858}&lt;/DBUID&gt;&lt;/Extra&gt;&lt;/Item&gt;&lt;/References&gt;&lt;/Group&gt;&lt;Group&gt;&lt;References&gt;&lt;Item&gt;&lt;ID&gt;1568&lt;/ID&gt;&lt;UID&gt;{CB34F45D-A1EC-48C7-B9DF-A9298103B3A8}&lt;/UID&gt;&lt;Title&gt;Determining consistent prognostic biomarkers of overall survival and vascular  invasion in hepatocellular carcinoma&lt;/Title&gt;&lt;Template&gt;Journal Article&lt;/Template&gt;&lt;Star&gt;0&lt;/Star&gt;&lt;Tag&gt;0&lt;/Tag&gt;&lt;Author&gt;Menyhárt, O; Nagy, Á; Győrffy, B&lt;/Author&gt;&lt;Year&gt;2018&lt;/Year&gt;&lt;Details&gt;&lt;_accession_num&gt;30662724&lt;/_accession_num&gt;&lt;_author_adr&gt;2nd Department of Pediatrics, Semmelweis University, H-1094 Budapest, Hungary.; MTA TTK Lendület Cancer Biomarker Research Group, Institute of Enzymology,  Hungarian Academy of Sciences, Magyar tudósok körútja 2, H-1117 Budapest,  Hungary.; 2nd Department of Pediatrics, Semmelweis University, H-1094 Budapest, Hungary.; MTA TTK Lendület Cancer Biomarker Research Group, Institute of Enzymology,  Hungarian Academy of Sciences, Magyar tudósok körútja 2, H-1117 Budapest,  Hungary.; 2nd Department of Pediatrics, Semmelweis University, H-1094 Budapest, Hungary.; MTA TTK Lendület Cancer Biomarker Research Group, Institute of Enzymology,  Hungarian Academy of Sciences, Magyar tudósok körútja 2, H-1117 Budapest,  Hungary.&lt;/_author_adr&gt;&lt;_date_display&gt;2018 Dec&lt;/_date_display&gt;&lt;_date&gt;2018-12-01&lt;/_date&gt;&lt;_doi&gt;10.1098/rsos.181006&lt;/_doi&gt;&lt;_isbn&gt;2054-5703 (Print); 2054-5703 (Electronic); 2054-5703 (Linking)&lt;/_isbn&gt;&lt;_issue&gt;12&lt;/_issue&gt;&lt;_journal&gt;R Soc Open Sci&lt;/_journal&gt;&lt;_keywords&gt;biomarker; hepatocellular carcinoma; liver cancer; survival; vascular invasion&lt;/_keywords&gt;&lt;_language&gt;eng&lt;/_language&gt;&lt;_pages&gt;181006&lt;/_pages&gt;&lt;_tertiary_title&gt;Royal Society open science&lt;/_tertiary_title&gt;&lt;_type_work&gt;Journal Article&lt;/_type_work&gt;&lt;_url&gt;http://www.ncbi.nlm.nih.gov/entrez/query.fcgi?cmd=Retrieve&amp;amp;db=pubmed&amp;amp;dopt=Abstract&amp;amp;list_uids=30662724&amp;amp;query_hl=1&lt;/_url&gt;&lt;_volume&gt;5&lt;/_volume&gt;&lt;_created&gt;64712310&lt;/_created&gt;&lt;_modified&gt;64712310&lt;/_modified&gt;&lt;_impact_factor&gt;   2.963&lt;/_impact_factor&gt;&lt;/Details&gt;&lt;Extra&gt;&lt;DBUID&gt;{AEE956F6-2975-44FB-BB03-F689351D8858}&lt;/DBUID&gt;&lt;/Extra&gt;&lt;/Item&gt;&lt;/References&gt;&lt;/Group&gt;&lt;/Citation&gt;_x000a_"/>
    <w:docVar w:name="NE.Ref{31DB50B7-33FA-44AA-9B78-9422437859F5}" w:val=" ADDIN NE.Ref.{31DB50B7-33FA-44AA-9B78-9422437859F5}&lt;Citation&gt;&lt;Group&gt;&lt;References&gt;&lt;Item&gt;&lt;ID&gt;1564&lt;/ID&gt;&lt;UID&gt;{DC5A0575-A30A-4907-B346-2212AEDF533F}&lt;/UID&gt;&lt;Title&gt;Exome sequencing of hepatocellular carcinomas identifies new mutational  signatures and potential therapeutic targets&lt;/Title&gt;&lt;Template&gt;Journal Article&lt;/Template&gt;&lt;Star&gt;0&lt;/Star&gt;&lt;Tag&gt;0&lt;/Tag&gt;&lt;Author&gt;Schulze, K; Imbeaud, S; Letouzé, E; Alexandrov, L B; Calderaro, J; Rebouissou, S; Couchy, G; Meiller, C; Shinde, J; Soysouvanh, F; Calatayud, A L; Pinyol, R; Pelletier, L; Balabaud, C; Laurent, A; Blanc, J F; Mazzaferro, V; Calvo, F; Villanueva, A; Nault, J C; Bioulac-Sage, P; Stratton, M R; Llovet, J M; Zucman-Rossi, J&lt;/Author&gt;&lt;Year&gt;2015&lt;/Year&gt;&lt;Details&gt;&lt;_accession_num&gt;25822088&lt;/_accession_num&gt;&lt;_author_adr&gt;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Cancer Genome Project, Wellcome Trust Sanger Institute, Wellcome Trust Genome  Campus, Hinxton, Cambridgeshire CB10 1SA, UK.; Theoretical Division, Los Alamos National Laboratory, Los Alamos, New Mexico,  United States of America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Assistance Publique-Hôpitaux de Paris, Department of Pathology, Centre  hospitalier universitaire Henri Mondor, F-94000 Créteil, France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Hepatocellular Carcinoma Translational Research Laboratory, Barcelona-Clínic  Liver Cancer Group, Institut d&amp;apos;Investigacions Biomèdiques August Pi i Sunyer,  Liver Unit. Centro de Investigación Biomédica en Red: Enfermedades Hépaticas y  Digestivas; Hospital Clínic, Barcelona, Catalonia, Spain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Inserm, UMR-1053; Université de Bordeaux, Bordeaux, F-33076, France.; Assistance Publique-Hôpitaux de Paris, Department of Digestive and Hepatobiliary  Surgery, Centre hospitalier universitaire Henri Mondor, F-94000 Créteil, France.; Inserm, UMR-955, F-94000 Créteil, France.; Inserm, UMR-1053; Université de Bordeaux, Bordeaux, F-33076, France.; Centre hospitalier universitaire de Bordeaux, Department of Hepatology, Hôpital  Saint-André, Bordeaux, F-33076, France.; Department of Liver Surgery and Transplant, Fondazione Istituto Tumori, via  Venezian 1, 20133 Milan, Italy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Hepatocellular Carcinoma Translational Research Laboratory, Barcelona-Clínic  Liver Cancer Group, Institut d&amp;apos;Investigacions Biomèdiques August Pi i Sunyer,  Liver Unit. Centro de Investigación Biomédica en Red: Enfermedades Hépaticas y  Digestivas; Hospital Clínic, Barcelona, Catalonia, Spain.; Mount Sinai Liver Cancer Program (Division of Liver Diseases), Mount Sinai School  of Medicine, New York, USA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Assistance Publique Hôpitaux de Paris, Hôpitaux Universitaires Paris - Seine  Saint-Denis, Site Jean Verdier, Pôle d&amp;apos;Activité Cancérologique Spécialisée,  Service d&amp;apos;Hépatologie, F-93143 Bondy, France.; Inserm, UMR-1053; Université de Bordeaux, Bordeaux, F-33076, France.; Centre hospitalier universitaire de Bordeaux, Pellegrin Hospital, Department of  Pathology, Bordeaux, F-33076, France.; Cancer Genome Project, Wellcome Trust Sanger Institute, Wellcome Trust Genome  Campus, Hinxton, Cambridgeshire CB10 1SA, UK.; Hepatocellular Carcinoma Translational Research Laboratory, Barcelona-Clínic  Liver Cancer Group, Institut d&amp;apos;Investigacions Biomèdiques August Pi i Sunyer,  Liver Unit. Centro de Investigación Biomédica en Red: Enfermedades Hépaticas y  Digestivas; Hospital Clínic, Barcelona, Catalonia, Spain.; Mount Sinai Liver Cancer Program (Division of Liver Diseases), Mount Sinai School  of Medicine, New York, USA.; Institució Catalana de Recerca i Estudis Avançats, Barcelona. Catalonia, Spain.; Inserm, UMR-1162, Génomique fonctionnelle des Tumeurs solides, Equipe Labellisée  Ligue Contre le Cancer, Institut Universitaire d&amp;apos;Hematologie, Paris, F-75010  France.; Université Paris Descartes, Labex Immuno-Oncology, Sorbonne Paris Cité, Faculté  de Médecine, Paris, France.; Université Paris 13, Sorbonne Paris Cité, Unité de Formation et de Recherche  Santé, Medecine, Biologie humaine, F-93000 Bobigny, France.; Université Paris Diderot, F-75013 Paris.; Assistance Publique-Hôpitaux de Paris, Hopital Europeen Georges Pompidou, F-75015  Paris, France.&lt;/_author_adr&gt;&lt;_date_display&gt;2015 May&lt;/_date_display&gt;&lt;_date&gt;2015-05-01&lt;/_date&gt;&lt;_doi&gt;10.1038/ng.3252&lt;/_doi&gt;&lt;_isbn&gt;1546-1718 (Electronic); 1061-4036 (Print); 1061-4036 (Linking)&lt;/_isbn&gt;&lt;_issue&gt;5&lt;/_issue&gt;&lt;_journal&gt;Nat Genet&lt;/_journal&gt;&lt;_language&gt;eng&lt;/_language&gt;&lt;_pages&gt;505-511&lt;/_pages&gt;&lt;_subject_headings&gt;Aged; Antineoplastic Agents/pharmacology; Benzoquinones/pharmacology; Carcinoma, Hepatocellular/drug therapy/*genetics; Cell Line, Tumor; DNA Mutational Analysis; *Exome; Female; Genetic Association Studies; HSP90 Heat-Shock Proteins/antagonists &amp;amp; inhibitors; Humans; Lactams, Macrocyclic/pharmacology; Liver Neoplasms/drug therapy/*genetics; Male; Molecular Targeted Therapy; NAD(P)H Dehydrogenase (Quinone)/genetics/metabolism; Risk Factors; Sequence Deletion&lt;/_subject_headings&gt;&lt;_tertiary_title&gt;Nature genetics&lt;/_tertiary_title&gt;&lt;_type_work&gt;Journal Article; Research Support, Non-U.S. Gov&amp;apos;t&lt;/_type_work&gt;&lt;_url&gt;http://www.ncbi.nlm.nih.gov/entrez/query.fcgi?cmd=Retrieve&amp;amp;db=pubmed&amp;amp;dopt=Abstract&amp;amp;list_uids=25822088&amp;amp;query_hl=1&lt;/_url&gt;&lt;_volume&gt;47&lt;/_volume&gt;&lt;_created&gt;64711994&lt;/_created&gt;&lt;_modified&gt;64711994&lt;/_modified&gt;&lt;_impact_factor&gt;  38.330&lt;/_impact_factor&gt;&lt;_collection_scope&gt;SCI;SCIE&lt;/_collection_scope&gt;&lt;/Details&gt;&lt;Extra&gt;&lt;DBUID&gt;{AEE956F6-2975-44FB-BB03-F689351D8858}&lt;/DBUID&gt;&lt;/Extra&gt;&lt;/Item&gt;&lt;/References&gt;&lt;/Group&gt;&lt;/Citation&gt;_x000a_"/>
    <w:docVar w:name="NE.Ref{4A1040B9-2E5E-43B5-899A-CEC027976F7E}" w:val=" ADDIN NE.Ref.{4A1040B9-2E5E-43B5-899A-CEC027976F7E}&lt;Citation&gt;&lt;Group&gt;&lt;References&gt;&lt;Item&gt;&lt;ID&gt;1565&lt;/ID&gt;&lt;UID&gt;{FFD66604-F4C7-4E9D-B077-D52C360ED6ED}&lt;/UID&gt;&lt;Title&gt;Genomic portrait of resectable hepatocellular carcinomas: implications of RB1 and  FGF19 aberrations for patient stratification&lt;/Title&gt;&lt;Template&gt;Journal Article&lt;/Template&gt;&lt;Star&gt;0&lt;/Star&gt;&lt;Tag&gt;0&lt;/Tag&gt;&lt;Author&gt;Ahn, S M; Jang, S J; Shim, J H; Kim, D; Hong, S M; Sung, C O; Baek, D; Haq, F; Ansari, A A; Lee, S Y; Chun, S M; Choi, S; Choi, H J; Kim, J; Kim, S; Hwang, S; Lee, Y J; Lee, J E; Jung, W R; Jang, H Y; Yang, E; Sung, W K; Lee, N P; Mao, M; Lee, C; Zucman-Rossi, J; Yu, E; Lee, H C; Kong, G&lt;/Author&gt;&lt;Year&gt;2014&lt;/Year&gt;&lt;Details&gt;&lt;_accession_num&gt;24798001&lt;/_accession_num&gt;&lt;_author_adr&gt;Department of Oncology, University of Ulsan College of Medicine, Asan Medical  Center, Seoul, Korea; Center for Cancer Genome Discovery, Asan Institute for Life  Science, University of Ulsan College of Medicine, Asan Medical Center, Seoul,  Korea; Department of Bioinformatics, University of Ulsan College of Medicine,  Asan Medical Center, Seoul, Korea.&lt;/_author_adr&gt;&lt;_date_display&gt;2014 Dec&lt;/_date_display&gt;&lt;_date&gt;2014-12-01&lt;/_date&gt;&lt;_doi&gt;10.1002/hep.27198&lt;/_doi&gt;&lt;_isbn&gt;1527-3350 (Electronic); 0270-9139 (Linking)&lt;/_isbn&gt;&lt;_issue&gt;6&lt;/_issue&gt;&lt;_journal&gt;Hepatology&lt;/_journal&gt;&lt;_language&gt;eng&lt;/_language&gt;&lt;_ori_publication&gt;© 2014 by the American Association for the Study of Liver Diseases.&lt;/_ori_publication&gt;&lt;_pages&gt;1972-82&lt;/_pages&gt;&lt;_subject_headings&gt;Adult; Aged; Aged, 80 and over; Biomarkers, Tumor/*metabolism; Carcinoma, Hepatocellular/*genetics/metabolism/surgery; DNA Copy Number Variations; DNA Mutational Analysis; E2F1 Transcription Factor/metabolism; Female; Fibroblast Growth Factors/*genetics; Humans; Liver Neoplasms/*genetics/metabolism/surgery; Male; Middle Aged; Retinoblastoma Protein/*genetics/metabolism&lt;/_subject_headings&gt;&lt;_tertiary_title&gt;Hepatology (Baltimore, Md.)&lt;/_tertiary_title&gt;&lt;_type_work&gt;Journal Article; Research Support, Non-U.S. Gov&amp;apos;t&lt;/_type_work&gt;&lt;_url&gt;http://www.ncbi.nlm.nih.gov/entrez/query.fcgi?cmd=Retrieve&amp;amp;db=pubmed&amp;amp;dopt=Abstract&amp;amp;list_uids=24798001&amp;amp;query_hl=1&lt;/_url&gt;&lt;_volume&gt;60&lt;/_volume&gt;&lt;_created&gt;64711995&lt;/_created&gt;&lt;_modified&gt;64711995&lt;/_modified&gt;&lt;_impact_factor&gt;  17.425&lt;/_impact_factor&gt;&lt;_collection_scope&gt;SCI;SCIE&lt;/_collection_scope&gt;&lt;/Details&gt;&lt;Extra&gt;&lt;DBUID&gt;{AEE956F6-2975-44FB-BB03-F689351D8858}&lt;/DBUID&gt;&lt;/Extra&gt;&lt;/Item&gt;&lt;/References&gt;&lt;/Group&gt;&lt;/Citation&gt;_x000a_"/>
    <w:docVar w:name="NE.Ref{83E02900-F4A0-45F5-A72F-EE29CFCC740C}" w:val=" ADDIN NE.Ref.{83E02900-F4A0-45F5-A72F-EE29CFCC740C}&lt;Citation&gt;&lt;Group&gt;&lt;References&gt;&lt;Item&gt;&lt;ID&gt;1563&lt;/ID&gt;&lt;UID&gt;{6597128E-9D3D-4731-91C1-79B3E2FE4AAB}&lt;/UID&gt;&lt;Title&gt;Prospective Genotyping of Hepatocellular Carcinoma: Clinical Implications of  Next-Generation Sequencing for Matching Patients to Targeted and Immune  Therapies&lt;/Title&gt;&lt;Template&gt;Journal Article&lt;/Template&gt;&lt;Star&gt;0&lt;/Star&gt;&lt;Tag&gt;0&lt;/Tag&gt;&lt;Author&gt;Harding, J J; Nandakumar, S; Armenia, J; Khalil, D N; Albano, M; Ly, M; Shia, J; Hechtman, J F; Kundra, R; El, Dika I; Do, R K; Sun, Y; Kingham, T P; D&amp;apos;Angelica, M I; Berger, M F; Hyman, D M; Jarnagin, W; Klimstra, D S; Janjigian, Y Y; Solit, D B; Schultz, N; Abou-Alfa, G K&lt;/Author&gt;&lt;Year&gt;2019&lt;/Year&gt;&lt;Details&gt;&lt;_accession_num&gt;30373752&lt;/_accession_num&gt;&lt;_author_adr&gt;Department of Medicine, Memorial Sloan Kettering Cancer Center, New York, New  York. hardinj1@mskcc.org.; Human Oncology and Pathogenesis Program, Memorial Sloan Kettering Cancer Center,  New York, New York.; Human Oncology and Pathogenesis Program, Memorial Sloan Kettering Cancer Center,  New York, New York.; Department of Medicine, Memorial Sloan Kettering Cancer Center, New York, New  York.; Department of Medicine, Memorial Sloan Kettering Cancer Center, New York, New  York.; Department of Medicine, Memorial Sloan Kettering Cancer Center, New York, New  York.; Department of Pathology, Memorial Sloan Kettering Cancer Center, New York, New  York.; Department of Pathology, Memorial Sloan Kettering Cancer Center, New York, New  York.; Human Oncology and Pathogenesis Program, Memorial Sloan Kettering Cancer Center,  New York, New York.; Department of Medicine, Memorial Sloan Kettering Cancer Center, New York, New  York.; Department of Radiology, Memorial Sloan Kettering Cancer Center, New York, New  York.; Human Oncology and Pathogenesis Program, Memorial Sloan Kettering Cancer Center,  New York, New York.; Marie-Josée &amp;amp; Henry R. Kravis Center for Molecular Oncology, Memorial Sloan  Kettering Cancer Center, New York, New York.; Department of Surgery, Memorial Sloan Kettering Cancer Center, New York, New  York.; Department of Surgery, Memorial Sloan Kettering Cancer Center, New York, New  York.; Department of Pathology, Memorial Sloan Kettering Cancer Center, New York, New  York.; Marie-Josée &amp;amp; Henry R. Kravis Center for Molecular Oncology, Memorial Sloan  Kettering Cancer Center, New York, New York.; Department of Medicine, Memorial Sloan Kettering Cancer Center, New York, New  York.; Department of Surgery, Memorial Sloan Kettering Cancer Center, New York, New  York.; Department of Pathology, Memorial Sloan Kettering Cancer Center, New York, New  York.; Department of Medicine, Memorial Sloan Kettering Cancer Center, New York, New  York.; Department of Medicine, Memorial Sloan Kettering Cancer Center, New York, New  York.; Human Oncology and Pathogenesis Program, Memorial Sloan Kettering Cancer Center,  New York, New York.; Marie-Josée &amp;amp; Henry R. Kravis Center for Molecular Oncology, Memorial Sloan  Kettering Cancer Center, New York, New York.; Human Oncology and Pathogenesis Program, Memorial Sloan Kettering Cancer Center,  New York, New York.; Marie-Josée &amp;amp; Henry R. Kravis Center for Molecular Oncology, Memorial Sloan  Kettering Cancer Center, New York, New York.; Department of Epidemiology &amp;amp; Biostatistics, Memorial Sloan Kettering Cancer  Center, New York, New York.; Department of Medicine, Memorial Sloan Kettering Cancer Center, New York, New  York.&lt;/_author_adr&gt;&lt;_date_display&gt;2019 Apr 1&lt;/_date_display&gt;&lt;_date&gt;2019-04-01&lt;/_date&gt;&lt;_doi&gt;10.1158/1078-0432.CCR-18-2293&lt;/_doi&gt;&lt;_isbn&gt;1557-3265 (Electronic); 1078-0432 (Print); 1078-0432 (Linking)&lt;/_isbn&gt;&lt;_issue&gt;7&lt;/_issue&gt;&lt;_journal&gt;Clin Cancer Res&lt;/_journal&gt;&lt;_language&gt;eng&lt;/_language&gt;&lt;_ori_publication&gt;©2018 American Association for Cancer Research.&lt;/_ori_publication&gt;&lt;_pages&gt;2116-2126&lt;/_pages&gt;&lt;_subject_headings&gt;Carcinoma, Hepatocellular/*genetics; Genotype; High-Throughput Nucleotide Sequencing; Humans; *Immunotherapy; Liver Neoplasms/*genetics; Mutation; *Precision Medicine; Prospective Studies&lt;/_subject_headings&gt;&lt;_tertiary_title&gt;Clinical cancer research : an official journal of the American Association for _x000d__x000a_      Cancer Research&lt;/_tertiary_title&gt;&lt;_type_work&gt;Journal Article&lt;/_type_work&gt;&lt;_url&gt;http://www.ncbi.nlm.nih.gov/entrez/query.fcgi?cmd=Retrieve&amp;amp;db=pubmed&amp;amp;dopt=Abstract&amp;amp;list_uids=30373752&amp;amp;query_hl=1&lt;/_url&gt;&lt;_volume&gt;25&lt;/_volume&gt;&lt;_created&gt;64711993&lt;/_created&gt;&lt;_modified&gt;64711993&lt;/_modified&gt;&lt;_impact_factor&gt;  12.531&lt;/_impact_factor&gt;&lt;_collection_scope&gt;SCI;SCIE&lt;/_collection_scope&gt;&lt;/Details&gt;&lt;Extra&gt;&lt;DBUID&gt;{AEE956F6-2975-44FB-BB03-F689351D8858}&lt;/DBUID&gt;&lt;/Extra&gt;&lt;/Item&gt;&lt;/References&gt;&lt;/Group&gt;&lt;/Citation&gt;_x000a_"/>
    <w:docVar w:name="NE.Ref{D524B273-EC7D-41C7-8CDC-EA2D26D34E72}" w:val=" ADDIN NE.Ref.{D524B273-EC7D-41C7-8CDC-EA2D26D34E72}&lt;Citation&gt;&lt;Group&gt;&lt;References&gt;&lt;Item&gt;&lt;ID&gt;1565&lt;/ID&gt;&lt;UID&gt;{FFD66604-F4C7-4E9D-B077-D52C360ED6ED}&lt;/UID&gt;&lt;Title&gt;Genomic portrait of resectable hepatocellular carcinomas: implications of RB1 and  FGF19 aberrations for patient stratification&lt;/Title&gt;&lt;Template&gt;Journal Article&lt;/Template&gt;&lt;Star&gt;0&lt;/Star&gt;&lt;Tag&gt;0&lt;/Tag&gt;&lt;Author&gt;Ahn, S M; Jang, S J; Shim, J H; Kim, D; Hong, S M; Sung, C O; Baek, D; Haq, F; Ansari, A A; Lee, S Y; Chun, S M; Choi, S; Choi, H J; Kim, J; Kim, S; Hwang, S; Lee, Y J; Lee, J E; Jung, W R; Jang, H Y; Yang, E; Sung, W K; Lee, N P; Mao, M; Lee, C; Zucman-Rossi, J; Yu, E; Lee, H C; Kong, G&lt;/Author&gt;&lt;Year&gt;2014&lt;/Year&gt;&lt;Details&gt;&lt;_accession_num&gt;24798001&lt;/_accession_num&gt;&lt;_author_adr&gt;Department of Oncology, University of Ulsan College of Medicine, Asan Medical  Center, Seoul, Korea; Center for Cancer Genome Discovery, Asan Institute for Life  Science, University of Ulsan College of Medicine, Asan Medical Center, Seoul,  Korea; Department of Bioinformatics, University of Ulsan College of Medicine,  Asan Medical Center, Seoul, Korea.&lt;/_author_adr&gt;&lt;_date_display&gt;2014 Dec&lt;/_date_display&gt;&lt;_date&gt;2014-12-01&lt;/_date&gt;&lt;_doi&gt;10.1002/hep.27198&lt;/_doi&gt;&lt;_isbn&gt;1527-3350 (Electronic); 0270-9139 (Linking)&lt;/_isbn&gt;&lt;_issue&gt;6&lt;/_issue&gt;&lt;_journal&gt;Hepatology&lt;/_journal&gt;&lt;_language&gt;eng&lt;/_language&gt;&lt;_ori_publication&gt;© 2014 by the American Association for the Study of Liver Diseases.&lt;/_ori_publication&gt;&lt;_pages&gt;1972-82&lt;/_pages&gt;&lt;_subject_headings&gt;Adult; Aged; Aged, 80 and over; Biomarkers, Tumor/*metabolism; Carcinoma, Hepatocellular/*genetics/metabolism/surgery; DNA Copy Number Variations; DNA Mutational Analysis; E2F1 Transcription Factor/metabolism; Female; Fibroblast Growth Factors/*genetics; Humans; Liver Neoplasms/*genetics/metabolism/surgery; Male; Middle Aged; Retinoblastoma Protein/*genetics/metabolism&lt;/_subject_headings&gt;&lt;_tertiary_title&gt;Hepatology (Baltimore, Md.)&lt;/_tertiary_title&gt;&lt;_type_work&gt;Journal Article; Research Support, Non-U.S. Gov&amp;apos;t&lt;/_type_work&gt;&lt;_url&gt;http://www.ncbi.nlm.nih.gov/entrez/query.fcgi?cmd=Retrieve&amp;amp;db=pubmed&amp;amp;dopt=Abstract&amp;amp;list_uids=24798001&amp;amp;query_hl=1&lt;/_url&gt;&lt;_volume&gt;60&lt;/_volume&gt;&lt;_created&gt;64711995&lt;/_created&gt;&lt;_modified&gt;64711995&lt;/_modified&gt;&lt;_impact_factor&gt;  17.425&lt;/_impact_factor&gt;&lt;_collection_scope&gt;SCI;SCIE&lt;/_collection_scope&gt;&lt;/Details&gt;&lt;Extra&gt;&lt;DBUID&gt;{AEE956F6-2975-44FB-BB03-F689351D8858}&lt;/DBUID&gt;&lt;/Extra&gt;&lt;/Item&gt;&lt;/References&gt;&lt;/Group&gt;&lt;/Citation&gt;_x000a_"/>
    <w:docVar w:name="ne_docsoft" w:val="MSWord"/>
    <w:docVar w:name="ne_docversion" w:val="NoteExpress 2.0"/>
    <w:docVar w:name="ne_stylename" w:val="Medicine Omics"/>
  </w:docVars>
  <w:rsids>
    <w:rsidRoot w:val="00172A27"/>
    <w:rsid w:val="01981D96"/>
    <w:rsid w:val="032F2286"/>
    <w:rsid w:val="082C4FE6"/>
    <w:rsid w:val="166B13D0"/>
    <w:rsid w:val="18475E6C"/>
    <w:rsid w:val="1B4B6F63"/>
    <w:rsid w:val="1F0E6983"/>
    <w:rsid w:val="26E54E8D"/>
    <w:rsid w:val="2916166F"/>
    <w:rsid w:val="2D834DF9"/>
    <w:rsid w:val="30360848"/>
    <w:rsid w:val="33E660E2"/>
    <w:rsid w:val="34813D8E"/>
    <w:rsid w:val="383B4C4E"/>
    <w:rsid w:val="39510803"/>
    <w:rsid w:val="3A1007DD"/>
    <w:rsid w:val="47E51781"/>
    <w:rsid w:val="4C207F8B"/>
    <w:rsid w:val="56EC2076"/>
    <w:rsid w:val="57BD5228"/>
    <w:rsid w:val="69C2222A"/>
    <w:rsid w:val="6A4916DB"/>
    <w:rsid w:val="6AE84F61"/>
    <w:rsid w:val="6F3239AE"/>
    <w:rsid w:val="70921BF6"/>
    <w:rsid w:val="734B3290"/>
    <w:rsid w:val="7DDE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494</Words>
  <Characters>2014</Characters>
  <Lines>0</Lines>
  <Paragraphs>0</Paragraphs>
  <TotalTime>2</TotalTime>
  <ScaleCrop>false</ScaleCrop>
  <LinksUpToDate>false</LinksUpToDate>
  <CharactersWithSpaces>2208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2023-01-14T18:03:00Z</dcterms:created>
  <dc:creator>姚定金</dc:creator>
  <cp:lastModifiedBy>姚定金</cp:lastModifiedBy>
  <dcterms:modified xsi:type="dcterms:W3CDTF">2023-01-21T12:11:26Z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DDF8BCF9A475406A9EE75A306A219201</vt:lpwstr>
  </property>
</Properties>
</file>